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1" w:rsidRPr="00102B34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82FCE" w:rsidRPr="00102B34">
        <w:rPr>
          <w:rFonts w:ascii="Arial" w:hAnsi="Arial" w:cs="Arial"/>
          <w:bCs/>
          <w:spacing w:val="-3"/>
          <w:sz w:val="22"/>
          <w:szCs w:val="22"/>
        </w:rPr>
        <w:t>objects</w:t>
      </w:r>
      <w:r w:rsidR="00082FCE">
        <w:rPr>
          <w:rFonts w:ascii="Arial" w:hAnsi="Arial" w:cs="Arial"/>
          <w:bCs/>
          <w:spacing w:val="-3"/>
          <w:sz w:val="22"/>
          <w:szCs w:val="22"/>
        </w:rPr>
        <w:t xml:space="preserve"> of the</w:t>
      </w:r>
      <w:r w:rsidR="00082FCE" w:rsidRPr="00102B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02B34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(the Act) </w:t>
      </w:r>
      <w:r w:rsidR="002F07CA">
        <w:rPr>
          <w:rFonts w:ascii="Arial" w:hAnsi="Arial" w:cs="Arial"/>
          <w:bCs/>
          <w:spacing w:val="-3"/>
          <w:sz w:val="22"/>
          <w:szCs w:val="22"/>
        </w:rPr>
        <w:t xml:space="preserve">are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to establish a public sector health system that delivers high quality hospital and other health services to persons in Queensland having regard to the principles and objectives of the national health system by:</w:t>
      </w:r>
    </w:p>
    <w:p w:rsidR="00CD51D1" w:rsidRPr="00102B34" w:rsidRDefault="00CD51D1" w:rsidP="00480A42">
      <w:pPr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(a)</w:t>
      </w:r>
      <w:r w:rsidRPr="00102B34">
        <w:rPr>
          <w:rFonts w:ascii="Arial" w:hAnsi="Arial" w:cs="Arial"/>
          <w:sz w:val="22"/>
          <w:szCs w:val="22"/>
        </w:rPr>
        <w:tab/>
        <w:t xml:space="preserve">strengthening local decision-making and accountability, local consumer and community engagement, and local clinician engagement; </w:t>
      </w:r>
    </w:p>
    <w:p w:rsidR="00CD51D1" w:rsidRPr="00102B34" w:rsidRDefault="00CD51D1" w:rsidP="00480A42">
      <w:pPr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(b)</w:t>
      </w:r>
      <w:r w:rsidRPr="00102B34">
        <w:rPr>
          <w:rFonts w:ascii="Arial" w:hAnsi="Arial" w:cs="Arial"/>
          <w:sz w:val="22"/>
          <w:szCs w:val="22"/>
        </w:rPr>
        <w:tab/>
        <w:t>providing for State-wide health system management including health system planning, coordination and standard setting; and</w:t>
      </w:r>
    </w:p>
    <w:p w:rsidR="00CD51D1" w:rsidRPr="00102B34" w:rsidRDefault="00CD51D1" w:rsidP="00480A42">
      <w:pPr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(c)</w:t>
      </w:r>
      <w:r w:rsidRPr="00102B34">
        <w:rPr>
          <w:rFonts w:ascii="Arial" w:hAnsi="Arial" w:cs="Arial"/>
          <w:sz w:val="22"/>
          <w:szCs w:val="22"/>
        </w:rPr>
        <w:tab/>
        <w:t>balancing the benefits of the local and system-wide approaches.</w:t>
      </w:r>
    </w:p>
    <w:p w:rsidR="00CD51D1" w:rsidRPr="00102B34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2B34">
        <w:rPr>
          <w:rFonts w:ascii="Arial" w:hAnsi="Arial" w:cs="Arial"/>
          <w:bCs/>
          <w:spacing w:val="-3"/>
          <w:sz w:val="22"/>
          <w:szCs w:val="22"/>
        </w:rPr>
        <w:t>Section 7 of the Act provides for the establishment o</w:t>
      </w:r>
      <w:r w:rsidR="00480A42">
        <w:rPr>
          <w:rFonts w:ascii="Arial" w:hAnsi="Arial" w:cs="Arial"/>
          <w:bCs/>
          <w:spacing w:val="-3"/>
          <w:sz w:val="22"/>
          <w:szCs w:val="22"/>
        </w:rPr>
        <w:t>f Hospital and Health Services</w:t>
      </w:r>
      <w:r w:rsidR="00861DD7">
        <w:rPr>
          <w:rFonts w:ascii="Arial" w:hAnsi="Arial" w:cs="Arial"/>
          <w:bCs/>
          <w:spacing w:val="-3"/>
          <w:sz w:val="22"/>
          <w:szCs w:val="22"/>
        </w:rPr>
        <w:t>,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which are statutory bodies and are the principal providers of public sector health services.  Each </w:t>
      </w:r>
      <w:r w:rsidR="00480A42">
        <w:rPr>
          <w:rFonts w:ascii="Arial" w:hAnsi="Arial" w:cs="Arial"/>
          <w:bCs/>
          <w:spacing w:val="-3"/>
          <w:sz w:val="22"/>
          <w:szCs w:val="22"/>
        </w:rPr>
        <w:t>Hospital and Health Service</w:t>
      </w:r>
      <w:r w:rsidR="00480A42" w:rsidRPr="00480A4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is independently and locally controlled by a Hospital and Health Board.</w:t>
      </w:r>
    </w:p>
    <w:p w:rsidR="00CD51D1" w:rsidRPr="00A527A5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Section 23 of the Act provides for the membership of a </w:t>
      </w:r>
      <w:r w:rsidR="00480A42" w:rsidRPr="00480A42">
        <w:rPr>
          <w:rFonts w:ascii="Arial" w:hAnsi="Arial" w:cs="Arial"/>
          <w:bCs/>
          <w:spacing w:val="-3"/>
          <w:sz w:val="22"/>
          <w:szCs w:val="22"/>
        </w:rPr>
        <w:t xml:space="preserve">Hospital and Health Board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to consist of five or more members appointed by the Governor in Council, by gazette notice, on the recommendation of the Minister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D51D1" w:rsidRPr="00480A42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80A65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following members 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members </w:t>
      </w:r>
      <w:r w:rsidR="00082FCE">
        <w:rPr>
          <w:rFonts w:ascii="Arial" w:hAnsi="Arial" w:cs="Arial"/>
          <w:bCs/>
          <w:spacing w:val="-3"/>
          <w:sz w:val="22"/>
          <w:szCs w:val="22"/>
        </w:rPr>
        <w:t xml:space="preserve">and a Chair 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>
        <w:rPr>
          <w:rFonts w:ascii="Arial" w:hAnsi="Arial" w:cs="Arial"/>
          <w:bCs/>
          <w:spacing w:val="-3"/>
          <w:sz w:val="22"/>
          <w:szCs w:val="22"/>
        </w:rPr>
        <w:t>a Hospital and Health Board</w:t>
      </w:r>
      <w:r w:rsidR="00082FCE">
        <w:rPr>
          <w:rFonts w:ascii="Arial" w:hAnsi="Arial" w:cs="Arial"/>
          <w:bCs/>
          <w:spacing w:val="-3"/>
          <w:sz w:val="22"/>
          <w:szCs w:val="22"/>
        </w:rPr>
        <w:t>, for a term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80A42">
        <w:rPr>
          <w:rFonts w:ascii="Arial" w:hAnsi="Arial" w:cs="Arial"/>
          <w:bCs/>
          <w:spacing w:val="-3"/>
          <w:sz w:val="22"/>
          <w:szCs w:val="22"/>
        </w:rPr>
        <w:t xml:space="preserve">from date of publication in the Queensland Government Gazette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1</w:t>
      </w:r>
      <w:r w:rsidR="002F07CA">
        <w:rPr>
          <w:rFonts w:ascii="Arial" w:hAnsi="Arial" w:cs="Arial"/>
          <w:bCs/>
          <w:spacing w:val="-3"/>
          <w:sz w:val="22"/>
          <w:szCs w:val="22"/>
        </w:rPr>
        <w:t>7</w:t>
      </w:r>
      <w:r w:rsidR="009E3A81">
        <w:rPr>
          <w:rFonts w:ascii="Arial" w:hAnsi="Arial" w:cs="Arial"/>
          <w:bCs/>
          <w:spacing w:val="-3"/>
          <w:sz w:val="22"/>
          <w:szCs w:val="22"/>
        </w:rPr>
        <w:t> </w:t>
      </w:r>
      <w:r w:rsidRPr="00102B34">
        <w:rPr>
          <w:rFonts w:ascii="Arial" w:hAnsi="Arial" w:cs="Arial"/>
          <w:bCs/>
          <w:spacing w:val="-3"/>
          <w:sz w:val="22"/>
          <w:szCs w:val="22"/>
        </w:rPr>
        <w:t>May</w:t>
      </w:r>
      <w:r w:rsidR="009E3A81">
        <w:rPr>
          <w:rFonts w:ascii="Arial" w:hAnsi="Arial" w:cs="Arial"/>
          <w:bCs/>
          <w:spacing w:val="-3"/>
          <w:sz w:val="22"/>
          <w:szCs w:val="22"/>
        </w:rPr>
        <w:t> </w:t>
      </w:r>
      <w:r w:rsidRPr="00102B34">
        <w:rPr>
          <w:rFonts w:ascii="Arial" w:hAnsi="Arial" w:cs="Arial"/>
          <w:bCs/>
          <w:spacing w:val="-3"/>
          <w:sz w:val="22"/>
          <w:szCs w:val="22"/>
        </w:rPr>
        <w:t>201</w:t>
      </w:r>
      <w:r>
        <w:rPr>
          <w:rFonts w:ascii="Arial" w:hAnsi="Arial" w:cs="Arial"/>
          <w:bCs/>
          <w:spacing w:val="-3"/>
          <w:sz w:val="22"/>
          <w:szCs w:val="22"/>
        </w:rPr>
        <w:t>4</w:t>
      </w:r>
      <w:r w:rsidR="004E0814"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80A42" w:rsidRPr="00480A42" w:rsidRDefault="00480A42" w:rsidP="00480A42">
      <w:pPr>
        <w:tabs>
          <w:tab w:val="left" w:pos="3686"/>
        </w:tabs>
        <w:spacing w:before="120" w:after="60"/>
        <w:ind w:left="720"/>
        <w:rPr>
          <w:rFonts w:ascii="Arial" w:eastAsia="Calibri" w:hAnsi="Arial" w:cs="Arial"/>
          <w:bCs/>
          <w:spacing w:val="-3"/>
          <w:sz w:val="22"/>
          <w:szCs w:val="22"/>
          <w:u w:val="single"/>
        </w:rPr>
      </w:pPr>
      <w:r w:rsidRPr="00480A42">
        <w:rPr>
          <w:rFonts w:ascii="Arial" w:eastAsia="Calibri" w:hAnsi="Arial" w:cs="Arial"/>
          <w:bCs/>
          <w:spacing w:val="-3"/>
          <w:sz w:val="22"/>
          <w:szCs w:val="22"/>
          <w:u w:val="single"/>
        </w:rPr>
        <w:t>Hospital and Health Board</w:t>
      </w:r>
      <w:r w:rsidRPr="00480A42">
        <w:rPr>
          <w:rFonts w:ascii="Arial" w:eastAsia="Calibri" w:hAnsi="Arial" w:cs="Arial"/>
          <w:bCs/>
          <w:spacing w:val="-3"/>
          <w:sz w:val="22"/>
          <w:szCs w:val="22"/>
        </w:rPr>
        <w:tab/>
      </w:r>
      <w:r w:rsidRPr="00480A42">
        <w:rPr>
          <w:rFonts w:ascii="Arial" w:eastAsia="Calibri" w:hAnsi="Arial" w:cs="Arial"/>
          <w:bCs/>
          <w:spacing w:val="-3"/>
          <w:sz w:val="22"/>
          <w:szCs w:val="22"/>
          <w:u w:val="single"/>
        </w:rPr>
        <w:t>Member</w:t>
      </w:r>
    </w:p>
    <w:p w:rsidR="00480A42" w:rsidRPr="00E36789" w:rsidRDefault="00480A42" w:rsidP="00480A42">
      <w:pPr>
        <w:tabs>
          <w:tab w:val="left" w:pos="3686"/>
        </w:tabs>
        <w:spacing w:before="60" w:after="60"/>
        <w:ind w:left="720"/>
        <w:rPr>
          <w:rFonts w:ascii="Arial" w:eastAsia="Calibri" w:hAnsi="Arial" w:cs="Arial"/>
          <w:bCs/>
          <w:spacing w:val="-3"/>
          <w:sz w:val="22"/>
          <w:szCs w:val="22"/>
        </w:rPr>
      </w:pP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>Central Queensland</w:t>
      </w: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ab/>
      </w:r>
      <w:r>
        <w:rPr>
          <w:rFonts w:ascii="Arial" w:eastAsia="Calibri" w:hAnsi="Arial" w:cs="Arial"/>
          <w:bCs/>
          <w:spacing w:val="-3"/>
          <w:sz w:val="22"/>
          <w:szCs w:val="22"/>
        </w:rPr>
        <w:t>Ms Bronwyn Christensen</w:t>
      </w:r>
    </w:p>
    <w:p w:rsidR="00480A42" w:rsidRPr="00E36789" w:rsidRDefault="00480A42" w:rsidP="00480A42">
      <w:pPr>
        <w:tabs>
          <w:tab w:val="left" w:pos="3686"/>
        </w:tabs>
        <w:spacing w:before="60" w:after="60"/>
        <w:ind w:left="720"/>
        <w:rPr>
          <w:rFonts w:ascii="Arial" w:eastAsia="Calibri" w:hAnsi="Arial" w:cs="Arial"/>
          <w:bCs/>
          <w:spacing w:val="-3"/>
          <w:sz w:val="22"/>
          <w:szCs w:val="22"/>
        </w:rPr>
      </w:pP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>Metro South</w:t>
      </w: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ab/>
      </w:r>
      <w:r>
        <w:rPr>
          <w:rFonts w:ascii="Arial" w:eastAsia="Calibri" w:hAnsi="Arial" w:cs="Arial"/>
          <w:bCs/>
          <w:spacing w:val="-3"/>
          <w:sz w:val="22"/>
          <w:szCs w:val="22"/>
        </w:rPr>
        <w:t>Ms Margo MacGillivray</w:t>
      </w:r>
    </w:p>
    <w:p w:rsidR="00480A42" w:rsidRPr="00E36789" w:rsidRDefault="00480A42" w:rsidP="00480A42">
      <w:pPr>
        <w:tabs>
          <w:tab w:val="left" w:pos="3686"/>
        </w:tabs>
        <w:spacing w:before="60" w:after="60"/>
        <w:ind w:left="720"/>
        <w:rPr>
          <w:rFonts w:ascii="Arial" w:eastAsia="Calibri" w:hAnsi="Arial" w:cs="Arial"/>
          <w:bCs/>
          <w:spacing w:val="-3"/>
          <w:sz w:val="22"/>
          <w:szCs w:val="22"/>
        </w:rPr>
      </w:pP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>Wide Bay</w:t>
      </w:r>
      <w:r w:rsidRPr="00E36789">
        <w:rPr>
          <w:rFonts w:ascii="Arial" w:eastAsia="Calibri" w:hAnsi="Arial" w:cs="Arial"/>
          <w:bCs/>
          <w:spacing w:val="-3"/>
          <w:sz w:val="22"/>
          <w:szCs w:val="22"/>
        </w:rPr>
        <w:tab/>
      </w:r>
      <w:r>
        <w:rPr>
          <w:rFonts w:ascii="Arial" w:eastAsia="Calibri" w:hAnsi="Arial" w:cs="Arial"/>
          <w:bCs/>
          <w:spacing w:val="-3"/>
          <w:sz w:val="22"/>
          <w:szCs w:val="22"/>
        </w:rPr>
        <w:t>Mr Dominic Devine (also to be Chair)</w:t>
      </w:r>
    </w:p>
    <w:p w:rsidR="003436FE" w:rsidRPr="00480A42" w:rsidRDefault="00480A42" w:rsidP="00480A4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80A42" w:rsidRPr="00480A42" w:rsidRDefault="00480A42" w:rsidP="00480A42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80A42" w:rsidRPr="00480A42" w:rsidSect="00480A4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06" w:rsidRDefault="004C0A06">
      <w:r>
        <w:separator/>
      </w:r>
    </w:p>
  </w:endnote>
  <w:endnote w:type="continuationSeparator" w:id="0">
    <w:p w:rsidR="004C0A06" w:rsidRDefault="004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06" w:rsidRDefault="004C0A06">
      <w:r>
        <w:separator/>
      </w:r>
    </w:p>
  </w:footnote>
  <w:footnote w:type="continuationSeparator" w:id="0">
    <w:p w:rsidR="004C0A06" w:rsidRDefault="004C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8A" w:rsidRPr="00D75134" w:rsidRDefault="0058498A" w:rsidP="005849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498A" w:rsidRPr="00D75134" w:rsidRDefault="0058498A" w:rsidP="005849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498A" w:rsidRPr="001E209B" w:rsidRDefault="0058498A" w:rsidP="005849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2013</w:t>
    </w:r>
  </w:p>
  <w:p w:rsidR="0058498A" w:rsidRDefault="0058498A" w:rsidP="005849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Chair and members to the Hospital and Health Boards</w:t>
    </w:r>
  </w:p>
  <w:p w:rsidR="0058498A" w:rsidRDefault="0058498A" w:rsidP="005849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58498A" w:rsidRDefault="0058498A" w:rsidP="0058498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5765"/>
    <w:multiLevelType w:val="hybridMultilevel"/>
    <w:tmpl w:val="245C4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1"/>
    <w:rsid w:val="00017AD8"/>
    <w:rsid w:val="00080A65"/>
    <w:rsid w:val="00082FCE"/>
    <w:rsid w:val="000B2CE3"/>
    <w:rsid w:val="0016641E"/>
    <w:rsid w:val="00166AED"/>
    <w:rsid w:val="002F07CA"/>
    <w:rsid w:val="003436FE"/>
    <w:rsid w:val="00362D29"/>
    <w:rsid w:val="0039001F"/>
    <w:rsid w:val="0046568B"/>
    <w:rsid w:val="00480A42"/>
    <w:rsid w:val="004A1A18"/>
    <w:rsid w:val="004C0A06"/>
    <w:rsid w:val="004D4E25"/>
    <w:rsid w:val="004E0814"/>
    <w:rsid w:val="004F5EA9"/>
    <w:rsid w:val="00506245"/>
    <w:rsid w:val="005371BE"/>
    <w:rsid w:val="0058498A"/>
    <w:rsid w:val="00596904"/>
    <w:rsid w:val="00607A1C"/>
    <w:rsid w:val="0063357E"/>
    <w:rsid w:val="006472BA"/>
    <w:rsid w:val="006B6F70"/>
    <w:rsid w:val="006B73E6"/>
    <w:rsid w:val="00701052"/>
    <w:rsid w:val="007C0371"/>
    <w:rsid w:val="00823CF8"/>
    <w:rsid w:val="00850DA1"/>
    <w:rsid w:val="00861DD7"/>
    <w:rsid w:val="00875DA3"/>
    <w:rsid w:val="00892B32"/>
    <w:rsid w:val="008A1A68"/>
    <w:rsid w:val="008E74A8"/>
    <w:rsid w:val="00983283"/>
    <w:rsid w:val="009E3A81"/>
    <w:rsid w:val="009E48A7"/>
    <w:rsid w:val="00A07176"/>
    <w:rsid w:val="00A4350A"/>
    <w:rsid w:val="00AC729A"/>
    <w:rsid w:val="00AF3332"/>
    <w:rsid w:val="00B44E2B"/>
    <w:rsid w:val="00C43DE3"/>
    <w:rsid w:val="00C772D3"/>
    <w:rsid w:val="00C86016"/>
    <w:rsid w:val="00CD299A"/>
    <w:rsid w:val="00CD51D1"/>
    <w:rsid w:val="00E36789"/>
    <w:rsid w:val="00E75EE9"/>
    <w:rsid w:val="00F44EA8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B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CD51D1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rsid w:val="00CD51D1"/>
    <w:rPr>
      <w:color w:val="000000"/>
      <w:sz w:val="24"/>
      <w:lang w:val="en-AU" w:eastAsia="en-AU" w:bidi="ar-SA"/>
    </w:rPr>
  </w:style>
  <w:style w:type="table" w:styleId="TableGrid">
    <w:name w:val="Table Grid"/>
    <w:basedOn w:val="TableNormal"/>
    <w:rsid w:val="00CD51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D51D1"/>
    <w:rPr>
      <w:sz w:val="16"/>
      <w:szCs w:val="16"/>
    </w:rPr>
  </w:style>
  <w:style w:type="paragraph" w:styleId="CommentText">
    <w:name w:val="annotation text"/>
    <w:basedOn w:val="Normal"/>
    <w:semiHidden/>
    <w:rsid w:val="00CD51D1"/>
    <w:rPr>
      <w:sz w:val="20"/>
    </w:rPr>
  </w:style>
  <w:style w:type="paragraph" w:styleId="BalloonText">
    <w:name w:val="Balloon Text"/>
    <w:basedOn w:val="Normal"/>
    <w:semiHidden/>
    <w:rsid w:val="00CD51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23CF8"/>
    <w:rPr>
      <w:b/>
      <w:bCs/>
      <w:color w:val="auto"/>
    </w:rPr>
  </w:style>
  <w:style w:type="character" w:customStyle="1" w:styleId="HeaderChar">
    <w:name w:val="Header Char"/>
    <w:locked/>
    <w:rsid w:val="0046568B"/>
    <w:rPr>
      <w:sz w:val="24"/>
      <w:lang w:val="en-AU" w:eastAsia="en-AU" w:bidi="ar-SA"/>
    </w:rPr>
  </w:style>
  <w:style w:type="paragraph" w:styleId="Footer">
    <w:name w:val="footer"/>
    <w:basedOn w:val="Normal"/>
    <w:rsid w:val="0046568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1296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Base>https://www.cabinet.qld.gov.au/documents/2013/Jun/Appts HealthHosp Boards/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2017-10-25T00:51:00Z</dcterms:created>
  <dcterms:modified xsi:type="dcterms:W3CDTF">2018-03-06T01:18:00Z</dcterms:modified>
  <cp:category>Significant_Appointments,Health,Hospitals</cp:category>
</cp:coreProperties>
</file>